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-243839</wp:posOffset>
            </wp:positionH>
            <wp:positionV relativeFrom="paragraph">
              <wp:posOffset>-387349</wp:posOffset>
            </wp:positionV>
            <wp:extent cx="1800225" cy="40894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08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SOPIMUS OIKEUKSIEN LUOVUTTAMISESTA PROJEKTISSA</w:t>
      </w: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Sopimuksen osapuolet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Tämän sopimuksen osapuolina ovat: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Metropolia Ammattikorkeakoulu Oy (”Metropolia”) 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  <w:highlight w:val="yellow"/>
        </w:rPr>
      </w:pPr>
      <w:r>
        <w:rPr>
          <w:b/>
          <w:color w:val="000000"/>
          <w:sz w:val="22"/>
          <w:szCs w:val="22"/>
          <w:highlight w:val="yellow"/>
        </w:rPr>
        <w:t xml:space="preserve">ja 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  <w:highlight w:val="yellow"/>
        </w:rPr>
      </w:pPr>
      <w:r>
        <w:rPr>
          <w:i/>
          <w:color w:val="000000"/>
          <w:sz w:val="22"/>
          <w:szCs w:val="22"/>
          <w:highlight w:val="yellow"/>
        </w:rPr>
        <w:t>Etunimi Sukunimi</w:t>
      </w:r>
      <w:r>
        <w:rPr>
          <w:color w:val="000000"/>
          <w:sz w:val="22"/>
          <w:szCs w:val="22"/>
          <w:highlight w:val="yellow"/>
        </w:rPr>
        <w:t xml:space="preserve"> (”Projektihenkilö”)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before="360"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Sopimuksen tarkoitus ja kohde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Metropolialla on korkeakoulukeksintölaista (369/2006), muusta lainsäädännöstä, ulkopuolisen rahoituksen ehdoista ja/tai sopimuksista aiheutuvia velvoitteita, minkä vuoksi projekteihin osallistuvien henkilöiden on siirrettävä oikeuksiansa projektin tuloksii</w:t>
      </w:r>
      <w:r>
        <w:rPr>
          <w:color w:val="000000"/>
          <w:sz w:val="22"/>
          <w:szCs w:val="22"/>
        </w:rPr>
        <w:t xml:space="preserve">n Metropolialle. 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Sopimus koskee projektia </w:t>
      </w:r>
      <w:r>
        <w:rPr>
          <w:i/>
          <w:color w:val="000000"/>
          <w:sz w:val="22"/>
          <w:szCs w:val="22"/>
          <w:highlight w:val="yellow"/>
        </w:rPr>
        <w:t>”Lisää hankkeen nimi tähän” (Lisää rahoittaja ja rahoitusohjelma tähän)</w:t>
      </w:r>
      <w:r>
        <w:rPr>
          <w:color w:val="000000"/>
          <w:sz w:val="22"/>
          <w:szCs w:val="22"/>
        </w:rPr>
        <w:t xml:space="preserve"> ja kaikkia sen tuloksia. Sopimuksen tarkoituksena on siirtää oikeuksia projektin tuloksiin Projektihenkilöltä Metropolialle. Tulokset tarkoit</w:t>
      </w:r>
      <w:r>
        <w:rPr>
          <w:color w:val="000000"/>
          <w:sz w:val="22"/>
          <w:szCs w:val="22"/>
        </w:rPr>
        <w:t>tavat kaikkia projektin tuloksia, kuten patentteja, keksintöjä, tietokoneohjelmia ja sovelluksia sekä taloudellista arvoa omaavaa tietoutta, näitä kuvaavia dokumentteja ja teknisiä raportteja sekä muuta aineistoa, jotka Projektihenkilö on saanut aikaan pro</w:t>
      </w:r>
      <w:r>
        <w:rPr>
          <w:color w:val="000000"/>
          <w:sz w:val="22"/>
          <w:szCs w:val="22"/>
        </w:rPr>
        <w:t>jektissa (jäljempänä ”Tulokset”).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before="360"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Oikeuksien siirtäminen Tuloksiin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Sopimuksen allekirjoittanut Projektihenkilö siirtää Metropolialle omistus- ja immateriaalioikeudet</w:t>
      </w:r>
      <w:r>
        <w:rPr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Tuloksiin, mukaan lukien Tulosten muuttamis- ja edelleenluovutusoikeus. Siirroista ei makseta korvausta ellei kohdista 5 tai 6 muuta aiheudu.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before="360"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Tausta-aineisto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Tausta-aineisto tarkoittaa tässä sopimuksessa sellaista projektin alalta tai sitä lähellä olev</w:t>
      </w:r>
      <w:r>
        <w:rPr>
          <w:color w:val="000000"/>
          <w:sz w:val="22"/>
          <w:szCs w:val="22"/>
        </w:rPr>
        <w:t>alta alalta olevaa teknistä, tieteellistä, liiketaloudellista, kaupallista ja rahoituksellista tietoa ja aineistoa sekä patentteja, keksintöjä ja tietokoneohjelmia, jotka on kehitetty projektin ulkopuolella joko ennen projektin alkamista tai sen aikana (jä</w:t>
      </w:r>
      <w:r>
        <w:rPr>
          <w:color w:val="000000"/>
          <w:sz w:val="22"/>
          <w:szCs w:val="22"/>
        </w:rPr>
        <w:t xml:space="preserve">ljempänä ”Tausta-aineisto”). Projektihenkilö sitoutuu käyttämään projektissa vain sellaista Tausta-aineistoa, jonka käyttämiseen tässä projektissa Metropolialla on oikeus, tai julkista vapaasti käytettävissä olevaa Tausta-aineistoa. Mikäli Projektihenkilö </w:t>
      </w:r>
      <w:r>
        <w:rPr>
          <w:color w:val="000000"/>
          <w:sz w:val="22"/>
          <w:szCs w:val="22"/>
        </w:rPr>
        <w:t>haluaa käyttää itse omistamaansa tai kolmansien omistamaa Tausta-aineistoa projektissa, sen käyttämisestä on sovittava Metropolian kanssa etukäteen.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Tällä sopimuksella ei siirretä mitään omistus- ja immateriaalioikeuksia Projektihenkilön omistamaan Tausta-</w:t>
      </w:r>
      <w:r>
        <w:rPr>
          <w:color w:val="000000"/>
          <w:sz w:val="22"/>
          <w:szCs w:val="22"/>
        </w:rPr>
        <w:t xml:space="preserve">aineistoon. Mikäli Projektihenkilön omistamaa Tausta-aineistoa tarvitaan projektin Tulosten </w:t>
      </w:r>
      <w:r>
        <w:rPr>
          <w:color w:val="000000"/>
          <w:sz w:val="22"/>
          <w:szCs w:val="22"/>
        </w:rPr>
        <w:lastRenderedPageBreak/>
        <w:t>hyödyntämiseen tai muihin käyttötarkoituksiin, sovitaan Projektihenkilön omistaman Tausta-aineiston käyttöoikeuden ehdoista erikseen.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before="360"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Keksintö- ja teosilmoitus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>rojektin yhteydessä syntyneen, patentoitavissa tai muuten suojattavissa olevan keksinnön tekijän tai tietokoneohjelman tekijän on ilmoitettava keksinnöstä tai tietokoneohjelmasta Metropolialle viipymättä kirjallisesti Metropolian ohjeistusten mukaisesti. M</w:t>
      </w:r>
      <w:r>
        <w:rPr>
          <w:color w:val="000000"/>
          <w:sz w:val="22"/>
          <w:szCs w:val="22"/>
        </w:rPr>
        <w:t xml:space="preserve">etropolia maksaa keksijöille hyväksytystä keksintöilmoituksesta kulloinkin voimassaolevan keksintöilmoitusohjeensa mukaiset palkkiot. Projektihenkilö sitoutuu allekirjoittamaan tarvittavat siirto- ja valtakirjat sekä avustamaan muutoinkin patentointi- tai </w:t>
      </w:r>
      <w:r>
        <w:rPr>
          <w:color w:val="000000"/>
          <w:sz w:val="22"/>
          <w:szCs w:val="22"/>
        </w:rPr>
        <w:t xml:space="preserve">muussa suojaamismenettelyssä. 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before="360"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Tulosten hyödyntäminen ja korvausten maksaminen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Mikäli Metropolia saa tuloja tällä sopimuksella siirrettyjen oikeuksien hyödyntämisestä, tulosta vähennetään keksinnöstä, innovaatiosta ja tietokoneohjelmasta Metropolialle aiheutuneet suorat kustannukset (mukaan lukien keksintöilmoituspalkkiot), minkä jäl</w:t>
      </w:r>
      <w:r>
        <w:rPr>
          <w:color w:val="000000"/>
          <w:sz w:val="22"/>
          <w:szCs w:val="22"/>
        </w:rPr>
        <w:t>keen nettotulo jaetaan alla kuvatun mukaisesti, ellei kirjallisesti toisin sovita.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Keksijät/tekijät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60%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Metropolian asianosainen tulosalue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20%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Metropolian innovaatiotoiminnan ylläpitäminen</w:t>
      </w:r>
      <w:r>
        <w:rPr>
          <w:color w:val="000000"/>
          <w:sz w:val="22"/>
          <w:szCs w:val="22"/>
        </w:rPr>
        <w:tab/>
        <w:t>20%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Mikäli projektissa on mukana useampia keksijöitä/tekijöitä, </w:t>
      </w:r>
      <w:r>
        <w:rPr>
          <w:color w:val="000000"/>
          <w:sz w:val="22"/>
          <w:szCs w:val="22"/>
        </w:rPr>
        <w:t>jaetaan heidän osuutensa tasajaolla, ellei toisin ole sovittu.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before="360"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Salassapito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Projektihenkilö sitoutuu pitämään salassa ja olemaan antamatta kolmannelle osapuolelle tietoa keksinnöstä, innovaatiosta, tekijänoikeuden alaisesta teoksesta tai muusta Metropoli</w:t>
      </w:r>
      <w:r>
        <w:rPr>
          <w:color w:val="000000"/>
          <w:sz w:val="22"/>
          <w:szCs w:val="22"/>
        </w:rPr>
        <w:t xml:space="preserve">an, sen sopimuskumppaneiden tai muiden sidosryhmien luottamuksellisesta tiedosta ilman Metropolian ja muun ko. tahon kirjallista lupaa. 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Julkaisuoikeudesta sovitaan tutkimusprojektiin osallistuvien muiden sopijapuolten ja Metropolian kesken. 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Salassapitove</w:t>
      </w:r>
      <w:r>
        <w:rPr>
          <w:color w:val="000000"/>
          <w:sz w:val="22"/>
          <w:szCs w:val="22"/>
        </w:rPr>
        <w:t>lvollisuus ei kuitenkaan koske:</w:t>
      </w:r>
    </w:p>
    <w:p w:rsidR="00194B30" w:rsidRDefault="002F5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tietoa, joka oli julkinen tai yleisesti saatavilla luottamuksellisen tiedon luovutushetkellä,</w:t>
      </w:r>
    </w:p>
    <w:p w:rsidR="00194B30" w:rsidRDefault="002F5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tietoa, joka on tullut julkiseksi tai yleisesti saatavilla olevaksi luottamuksellisen tiedon luovuttamisen jälkeen muutoin kuin Pr</w:t>
      </w:r>
      <w:r>
        <w:rPr>
          <w:color w:val="000000"/>
          <w:sz w:val="22"/>
          <w:szCs w:val="22"/>
        </w:rPr>
        <w:t>ojektihenkilön vastuulla olevasta syystä,</w:t>
      </w:r>
    </w:p>
    <w:p w:rsidR="00194B30" w:rsidRDefault="002F5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tietoa, joka oli Projektihenkilön hallussa ilman sitä koskevaa salassapitovelvollisuutta luottamuksellisen tiedon luovuttamisen hetkellä tai</w:t>
      </w:r>
    </w:p>
    <w:p w:rsidR="00194B30" w:rsidRDefault="002F52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tietoa, jonka Projektihenkilö on saanut haltuunsa kolmannelta ilman luovuttavan sopijapuolen asettamaa salassapitovelvollisuutta</w:t>
      </w: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ind w:left="714"/>
        <w:rPr>
          <w:color w:val="000000"/>
          <w:sz w:val="22"/>
          <w:szCs w:val="22"/>
        </w:rPr>
      </w:pP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Salassapitovelvollisuuden voimassaoloaika määritellään Metropolian ja projektiin osallistuvien muiden sopijapuolten välisessä </w:t>
      </w:r>
      <w:r>
        <w:rPr>
          <w:color w:val="000000"/>
          <w:sz w:val="22"/>
          <w:szCs w:val="22"/>
        </w:rPr>
        <w:t xml:space="preserve">sopimuksessa. Salassapitovelvoitteet ovat useissa tapauksissa voimassa myös palvelussuhteen päättymisen jälkeen. 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Tällä sopimuksella ei vähennetä Projektihenkilöllä lakien ja muiden säännösten tai sopimusten perusteella olevaa yleistä tai muuta salassapito</w:t>
      </w:r>
      <w:r>
        <w:rPr>
          <w:color w:val="000000"/>
          <w:sz w:val="22"/>
          <w:szCs w:val="22"/>
        </w:rPr>
        <w:t xml:space="preserve">velvollisuutta. 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before="360"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8. Projektin vastuullisen johtajan velvollisuudet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Metropoliassa projektin vastuullisena johtajana toimivan on huolehdittava siitä, että kaikki projektiin osallistuvat Metropoliaan palvelussuhteessa olevat ja Metropolian opiskelijat allekirjoittavat tämän sopimuksen ja ovat tietoisia tutkimusprojektiin lii</w:t>
      </w:r>
      <w:r>
        <w:rPr>
          <w:color w:val="000000"/>
          <w:sz w:val="22"/>
          <w:szCs w:val="22"/>
        </w:rPr>
        <w:t>ttyvistä velvoitteista, mukaan lukien tutkimussopimus ja rahoittajan ehdot.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before="360"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9. Muut sitoumukset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Projektihenkilö vakuuttaa, ettei hänellä ole muita tähän sopimukseen vaikuttavia sitoumuksia. 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before="360"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10. Tutkijavaihto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Projektin vastuullisen johtajan ja toiseen organisaatioon tutkijavaihtoon lähtevän työntekijän on huolehdittava, ettei tutkijavaihtoon liittyen allekirjoiteta tutkijavaihto- tai siirtosopimuksia vastaanottavan yhteisön kanssa ennen kuin Metropolia on antan</w:t>
      </w:r>
      <w:r>
        <w:rPr>
          <w:color w:val="000000"/>
          <w:sz w:val="22"/>
          <w:szCs w:val="22"/>
        </w:rPr>
        <w:t>ut luvan allekirjoittaa sopimukset ja/tai sitoumukset.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before="360"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11. Voimaantulo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tabs>
          <w:tab w:val="left" w:pos="3686"/>
        </w:tabs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Tämä sopimus tulee voimaan allekirjoitushetkellä ja on voimassa takautuvasti tutkimusprojektin alusta lähtien.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before="360"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12. Erimielisyyksien ratkaiseminen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Tästä sopimuksesta aiheutuvat erimielis</w:t>
      </w:r>
      <w:r>
        <w:rPr>
          <w:color w:val="000000"/>
          <w:sz w:val="22"/>
          <w:szCs w:val="22"/>
        </w:rPr>
        <w:t>yydet ratkaistaan ensisijaisesti osapuolien välisillä neuvotteluilla. Mikäli neuvotteluissa ei päästä ratkaisuun, asia ratkaistaan Helsingin käräjäoikeudessa.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before="360" w:after="20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13. Allekirjoitukset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Tätä sopimusta on tehty yhtä monta kappaletta kuin sopimuksessa on osapuolia</w:t>
      </w:r>
      <w:r>
        <w:rPr>
          <w:color w:val="000000"/>
          <w:sz w:val="22"/>
          <w:szCs w:val="22"/>
        </w:rPr>
        <w:t xml:space="preserve">, yksi kullekin osapuolelle. </w:t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480"/>
          <w:tab w:val="left" w:pos="7200"/>
        </w:tabs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Helsinki ___.___.20</w:t>
      </w:r>
      <w:r>
        <w:rPr>
          <w:sz w:val="22"/>
          <w:szCs w:val="22"/>
        </w:rPr>
        <w:t>20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Helsinki ___.___.2020</w:t>
      </w:r>
      <w:r>
        <w:rPr>
          <w:sz w:val="22"/>
          <w:szCs w:val="22"/>
        </w:rPr>
        <w:tab/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Metropolia Ammattikorkeakoulu Oy</w:t>
      </w:r>
      <w:r>
        <w:rPr>
          <w:color w:val="000000"/>
          <w:sz w:val="22"/>
          <w:szCs w:val="22"/>
        </w:rPr>
        <w:tab/>
      </w: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</w:rPr>
        <w:t>__________________________</w:t>
      </w:r>
      <w:r>
        <w:rPr>
          <w:sz w:val="22"/>
          <w:szCs w:val="22"/>
        </w:rPr>
        <w:tab/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200"/>
        <w:rPr>
          <w:color w:val="000000"/>
          <w:sz w:val="22"/>
          <w:szCs w:val="22"/>
        </w:rPr>
      </w:pPr>
      <w:r>
        <w:rPr>
          <w:sz w:val="22"/>
          <w:szCs w:val="22"/>
        </w:rPr>
        <w:t>Etunimi Sukunimi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  <w:highlight w:val="yellow"/>
        </w:rPr>
        <w:t xml:space="preserve">Etunimi Sukunimi </w:t>
      </w:r>
      <w:r>
        <w:rPr>
          <w:sz w:val="22"/>
          <w:szCs w:val="22"/>
        </w:rPr>
        <w:tab/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TKI-johtaja</w:t>
      </w:r>
      <w:r>
        <w:rPr>
          <w:color w:val="000000"/>
          <w:sz w:val="22"/>
          <w:szCs w:val="22"/>
        </w:rPr>
        <w:tab/>
      </w:r>
      <w:r>
        <w:rPr>
          <w:sz w:val="22"/>
          <w:szCs w:val="22"/>
          <w:highlight w:val="yellow"/>
        </w:rPr>
        <w:t>Työnimike (esim. lehtori)</w:t>
      </w:r>
      <w:r>
        <w:rPr>
          <w:sz w:val="22"/>
          <w:szCs w:val="22"/>
        </w:rPr>
        <w:tab/>
      </w: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  <w:tab w:val="left" w:pos="6480"/>
          <w:tab w:val="left" w:pos="7200"/>
        </w:tabs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Helsinki ___.___.2019</w:t>
      </w:r>
      <w:r>
        <w:rPr>
          <w:color w:val="000000"/>
          <w:sz w:val="22"/>
          <w:szCs w:val="22"/>
        </w:rPr>
        <w:tab/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Projektihenkilö</w:t>
      </w: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ab/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tabs>
          <w:tab w:val="left" w:pos="3600"/>
        </w:tabs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Etunimi Sukunimi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Työnimike (esim. lehtori)</w:t>
      </w: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p w:rsidR="00194B30" w:rsidRDefault="00194B3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  <w:sz w:val="22"/>
          <w:szCs w:val="22"/>
        </w:rPr>
      </w:pPr>
    </w:p>
    <w:sectPr w:rsidR="00194B30">
      <w:headerReference w:type="default" r:id="rId8"/>
      <w:footerReference w:type="default" r:id="rId9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2FD" w:rsidRDefault="002F52FD">
      <w:r>
        <w:separator/>
      </w:r>
    </w:p>
  </w:endnote>
  <w:endnote w:type="continuationSeparator" w:id="0">
    <w:p w:rsidR="002F52FD" w:rsidRDefault="002F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B30" w:rsidRDefault="002F52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br/>
      <w:t>Sopimus oikeuksien luovuttamisesta projektissa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2FD" w:rsidRDefault="002F52FD">
      <w:r>
        <w:separator/>
      </w:r>
    </w:p>
  </w:footnote>
  <w:footnote w:type="continuationSeparator" w:id="0">
    <w:p w:rsidR="002F52FD" w:rsidRDefault="002F52FD">
      <w:r>
        <w:continuationSeparator/>
      </w:r>
    </w:p>
  </w:footnote>
  <w:footnote w:id="1">
    <w:p w:rsidR="00194B30" w:rsidRDefault="002F52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Immateriaalioikeuksilla tarkoitetaan aineettomia oikeuksia, joihin kuuluvat muun muassa patentti, hyödyllisyysmalli, tavaramerkki, tekijänoikeus, oikeus integroidun piirin piirimalliin, mallisuoja ja hyödyllisyysmalli.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B30" w:rsidRDefault="002F52F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 w:rsidR="00B641CC">
      <w:rPr>
        <w:color w:val="000000"/>
        <w:sz w:val="22"/>
        <w:szCs w:val="22"/>
      </w:rPr>
      <w:fldChar w:fldCharType="separate"/>
    </w:r>
    <w:r w:rsidR="00B641CC">
      <w:rPr>
        <w:noProof/>
        <w:color w:val="000000"/>
        <w:sz w:val="22"/>
        <w:szCs w:val="22"/>
      </w:rPr>
      <w:t>4</w:t>
    </w:r>
    <w:r>
      <w:rPr>
        <w:color w:val="000000"/>
        <w:sz w:val="22"/>
        <w:szCs w:val="22"/>
      </w:rPr>
      <w:fldChar w:fldCharType="end"/>
    </w:r>
  </w:p>
  <w:p w:rsidR="00194B30" w:rsidRDefault="00194B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200" w:line="276" w:lineRule="auto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01BA9"/>
    <w:multiLevelType w:val="multilevel"/>
    <w:tmpl w:val="A20883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30"/>
    <w:rsid w:val="00194B30"/>
    <w:rsid w:val="002F52FD"/>
    <w:rsid w:val="00B6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71DDA-EB2D-4B75-9201-D558B480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Kilpeläinen</cp:lastModifiedBy>
  <cp:revision>2</cp:revision>
  <dcterms:created xsi:type="dcterms:W3CDTF">2020-11-25T07:52:00Z</dcterms:created>
  <dcterms:modified xsi:type="dcterms:W3CDTF">2020-11-25T07:52:00Z</dcterms:modified>
</cp:coreProperties>
</file>